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145C26" w:rsidRPr="0088556C" w:rsidRDefault="00145C26" w:rsidP="00145C26">
      <w:pPr>
        <w:tabs>
          <w:tab w:val="left" w:pos="14656"/>
        </w:tabs>
        <w:overflowPunct w:val="0"/>
        <w:jc w:val="center"/>
        <w:textAlignment w:val="baseline"/>
        <w:rPr>
          <w:b/>
          <w:color w:val="000000" w:themeColor="text1"/>
          <w:lang w:eastAsia="lt-LT"/>
        </w:rPr>
      </w:pPr>
      <w:r w:rsidRPr="0088556C">
        <w:rPr>
          <w:b/>
          <w:color w:val="000000" w:themeColor="text1"/>
          <w:lang w:eastAsia="lt-LT"/>
        </w:rPr>
        <w:t>KLAIPĖDOS „VARPELIO“ MOKYKLOS-DARŽELIO</w:t>
      </w:r>
    </w:p>
    <w:p w:rsidR="00145C26" w:rsidRPr="0088556C" w:rsidRDefault="00145C26" w:rsidP="00145C26">
      <w:pPr>
        <w:overflowPunct w:val="0"/>
        <w:jc w:val="center"/>
        <w:textAlignment w:val="baseline"/>
        <w:rPr>
          <w:b/>
          <w:color w:val="000000" w:themeColor="text1"/>
          <w:lang w:eastAsia="lt-LT"/>
        </w:rPr>
      </w:pPr>
      <w:r>
        <w:rPr>
          <w:b/>
          <w:color w:val="000000" w:themeColor="text1"/>
          <w:lang w:eastAsia="lt-LT"/>
        </w:rPr>
        <w:t xml:space="preserve">2021 </w:t>
      </w:r>
      <w:r w:rsidRPr="0088556C">
        <w:rPr>
          <w:b/>
          <w:color w:val="000000" w:themeColor="text1"/>
          <w:lang w:eastAsia="lt-LT"/>
        </w:rPr>
        <w:t>METŲ VEIKLOS ATASKAITA</w:t>
      </w:r>
    </w:p>
    <w:p w:rsidR="00145C26" w:rsidRPr="00F72A1E" w:rsidRDefault="00145C26" w:rsidP="00145C26">
      <w:pPr>
        <w:jc w:val="center"/>
      </w:pPr>
    </w:p>
    <w:p w:rsidR="00832CC9" w:rsidRPr="00F72A1E" w:rsidRDefault="00832CC9" w:rsidP="0006079E">
      <w:pPr>
        <w:jc w:val="center"/>
      </w:pPr>
    </w:p>
    <w:tbl>
      <w:tblPr>
        <w:tblW w:w="0" w:type="auto"/>
        <w:tblInd w:w="-147" w:type="dxa"/>
        <w:tblCellMar>
          <w:left w:w="0" w:type="dxa"/>
          <w:right w:w="0" w:type="dxa"/>
        </w:tblCellMar>
        <w:tblLook w:val="04A0" w:firstRow="1" w:lastRow="0" w:firstColumn="1" w:lastColumn="0" w:noHBand="0" w:noVBand="1"/>
      </w:tblPr>
      <w:tblGrid>
        <w:gridCol w:w="9775"/>
      </w:tblGrid>
      <w:tr w:rsidR="00145C26" w:rsidRPr="00145C26" w:rsidTr="000F6C48">
        <w:tc>
          <w:tcPr>
            <w:tcW w:w="9775" w:type="dxa"/>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9559"/>
            </w:tblGrid>
            <w:tr w:rsidR="00145C26" w:rsidRPr="00145C26" w:rsidTr="000F6C48">
              <w:tc>
                <w:tcPr>
                  <w:tcW w:w="9775" w:type="dxa"/>
                  <w:tcMar>
                    <w:top w:w="0" w:type="dxa"/>
                    <w:left w:w="108" w:type="dxa"/>
                    <w:bottom w:w="0" w:type="dxa"/>
                    <w:right w:w="108" w:type="dxa"/>
                  </w:tcMar>
                  <w:hideMark/>
                </w:tcPr>
                <w:p w:rsidR="00145C26" w:rsidRPr="00145C26" w:rsidRDefault="00145C26" w:rsidP="00145C26">
                  <w:pPr>
                    <w:ind w:firstLine="748"/>
                    <w:jc w:val="both"/>
                    <w:rPr>
                      <w:bCs/>
                      <w:color w:val="000000" w:themeColor="text1"/>
                    </w:rPr>
                  </w:pPr>
                  <w:r w:rsidRPr="00145C26">
                    <w:rPr>
                      <w:bCs/>
                      <w:color w:val="000000" w:themeColor="text1"/>
                    </w:rPr>
                    <w:t xml:space="preserve">Klaipėdos „Varpelio“ mokykla-darželis (toliau – Mokykla) įgyvendina tris ugdymo programas: Ikimokyklinio ugdymo programą, Priešmokyklinio ugdymo bendrąją programą ir Pradinio ugdymo bendrąją programą, integruojant į ugdymo procesą tarptautinės programos „Gera pradžia“ metodiką. 2021 m. gruodžio 31 d. duomenimis ugdyti 277 vaikai: ikimokyklinio ugdymo (6 grupės – 119 vaikų), priešmokyklinio ugdymo (2 grupės – 39 vaikai) ir pradinio ugdymo (5 klasės – 119 mokinių). Ugdymo programas įgyvendino 31 pedagogas (27,8 etato), dirbo 25 nepedagoginiai darbuotojai (21,75 etato), 1 įstaigos vadovas ir 2 pavaduotojai (3,0 etatai). </w:t>
                  </w:r>
                </w:p>
                <w:p w:rsidR="00145C26" w:rsidRPr="00145C26" w:rsidRDefault="00145C26" w:rsidP="00145C26">
                  <w:pPr>
                    <w:tabs>
                      <w:tab w:val="left" w:pos="1134"/>
                    </w:tabs>
                    <w:ind w:firstLine="714"/>
                    <w:jc w:val="both"/>
                    <w:rPr>
                      <w:color w:val="000000" w:themeColor="text1"/>
                    </w:rPr>
                  </w:pPr>
                  <w:r w:rsidRPr="00145C26">
                    <w:rPr>
                      <w:color w:val="000000" w:themeColor="text1"/>
                    </w:rPr>
                    <w:t>2021–2023 metų strateginio (toliau – Strateginis planas) ir 2021 metų veiklos planuose (toliau – Veiklos planas) nustatyti tikslai ir uždaviniai buvo orientuoti į kokybiško ugdymo proceso organizavimo ir sveikos, saugios ir šiuolaikinius ugdymo(si) reikalavimus atliepiančios aplinkos  užtikrinimą. Pasirinkta 2021 metų prioritetinė kryptis – užtikrinti ugdymo kokybę, pagrįstą mokytojų lyderyste. Strateginiams tikslams įgyvendinti Strateginiame ir Veiklos planuose buvo iškelti konkretūs veiklos tikslai ir uždaviniai, numatytos priemonės rezultatui pasiekti.</w:t>
                  </w:r>
                </w:p>
                <w:p w:rsidR="00145C26" w:rsidRPr="00145C26" w:rsidRDefault="00145C26" w:rsidP="00145C26">
                  <w:pPr>
                    <w:ind w:firstLine="714"/>
                    <w:jc w:val="both"/>
                    <w:rPr>
                      <w:color w:val="000000" w:themeColor="text1"/>
                    </w:rPr>
                  </w:pPr>
                  <w:r w:rsidRPr="00145C26">
                    <w:rPr>
                      <w:color w:val="000000" w:themeColor="text1"/>
                    </w:rPr>
                    <w:t>Siekiant įgyvendinti Strateginio plano pirmąjį tikslą – užtikrinti kokybišką ugdymo proceso organizavimą – Mokyklos veikla buvo orientuojama į individualios kiekvieno vaiko pažangos užtikrinimą bei pamokos (veiklos) veiksmingumo bei rezultatyvumo tobulinimą. Tikslams pasiekti buvo vykdomi du Veiklos plano uždaviniai.</w:t>
                  </w:r>
                </w:p>
                <w:p w:rsidR="00145C26" w:rsidRPr="00145C26" w:rsidRDefault="00145C26" w:rsidP="00145C26">
                  <w:pPr>
                    <w:ind w:firstLine="714"/>
                    <w:jc w:val="both"/>
                    <w:rPr>
                      <w:color w:val="000000" w:themeColor="text1"/>
                      <w:lang w:eastAsia="lt-LT"/>
                    </w:rPr>
                  </w:pPr>
                  <w:r w:rsidRPr="00145C26">
                    <w:rPr>
                      <w:color w:val="000000" w:themeColor="text1"/>
                    </w:rPr>
                    <w:t xml:space="preserve">Įgyvendinant pirmąjį uždavinį – plėtoti kontekstinį, teminį ir integruotą ugdymą – Mokykloje užtikrintas nenutrūkstamas ikimokyklinis, priešmokyklinis ir pradinis vaikų ugdymas, integruojant tarptautinės programos „Gera pradžia“ metodiką. Mokymo programos 100 proc. atitinka valstybės nustatytus reikalavimus. Priešmokyklinio ugdymo grupėse įgyvendinamas Goethe’s instituto organizuojamas projektas „Vokiečių kalba priešmokykliniame ugdyme. Pirmoji pažintis“. Mokykloje pradinėse klasėse sėkmingai įgyvendinama Ekonominio raštingumo pradmenų programa, 2–4 klasėse integruojamas informacinių komunikacinių technologijų ugdymas. Visas ugdymo turinys buvo organizuojamas, integruojant patyriminį mokymąsi. Skatinamos mokytojų ir mokinių iniciatyvos bei įvairiapusiška projektinė veikla. Mokykloje vykdyta 30 proc. daugiau integruotų veiklų negu 2020 metais: visi mokytojai vedė pamokas (veiklas) Mokyklos lauko aplinkoje įkurtose patyriminio mokymo erdvėse – lauko klasėje, Kneipo reflekso-terapiniame sveikatingumo take, ekologiniame darže, krepšinio ir futbolo aikštelėse. Aktyviai buvo vykdytos STEAM iniciatyvos, kuriose naudojamos įsigytos naujos gamtamoksliniam patyriminiam ugdymui skirtos priemonės. Tobulinant projektinės veiklos vykdymą, parengtas Projektinių dienų organizavimo tvarkos aprašas, patvirtintas 2021 m. sausio 4 d. direktoriaus įsakymu Nr. V-2. Iš viso buvo vykdyti 6 ilgalaikiai mokyklos projektai, lavinantys gamtamokslinius, kalbinius, socialinius įgūdžius, kuriuose dalyvavo 100 proc. mokyklos vaikų. Projektinius darbus pradinių klasių mokinai rengė iš pasirinktos teminės srities ir ugdymo krypties mokomųjų dalykų: pasaulio pažinimo, lietuvių ir anglų kalbos, fizinio ugdymo. 2021 metais pradinių klasių mokiniai klasėse įvykdė 17 teminių projektų. Mokykloje buvo vykdoma ir edukacinė-patyriminė veikla, kuri organizuota ir netradicinėse aplinkose: Lietuvos jūrų, Mažosios Lietuvos, Laikrodžių muziejuose, Lietuvos nacionalinės Martyno Mažvydo, Klaipėdos apskrities Ievos Simonaitytės viešosios, Klaipėdos miesto savivaldybės Imanuelio Kanto viešosios bibliotekų edukacinėse erdvėse, Klaipėdos universiteto (toliau – KU) </w:t>
                  </w:r>
                  <w:r w:rsidRPr="00145C26">
                    <w:rPr>
                      <w:color w:val="000000" w:themeColor="text1"/>
                    </w:rPr>
                    <w:lastRenderedPageBreak/>
                    <w:t xml:space="preserve">botanikos sode, Prano Domšaičio galerijoje kontaktiniu ir nuotoliniu būdu. Organizuotos pažintinės ekskursijos į Lietuvos miestus ir kitas įžymias kultūrines vietas. Per metus mokykloje organizuoti 105 edukaciniai-kultūriniai renginiai, kuriuose dalyvavo 100 proc. mokinių (32 proc. daugiau nei 2020 metais). Panaudota 1,2 tūkst. Eur valstybės biudžeto specialiosios tikslinės dotacijos lėšų. </w:t>
                  </w:r>
                </w:p>
                <w:p w:rsidR="00145C26" w:rsidRPr="00145C26" w:rsidRDefault="00145C26" w:rsidP="00145C26">
                  <w:pPr>
                    <w:tabs>
                      <w:tab w:val="left" w:pos="0"/>
                    </w:tabs>
                    <w:ind w:firstLine="714"/>
                    <w:jc w:val="both"/>
                    <w:rPr>
                      <w:color w:val="000000" w:themeColor="text1"/>
                    </w:rPr>
                  </w:pPr>
                  <w:r w:rsidRPr="00145C26">
                    <w:rPr>
                      <w:color w:val="000000" w:themeColor="text1"/>
                    </w:rPr>
                    <w:t xml:space="preserve">Įgyvendinant antrąjį uždavinį – sistemingai analizuoti mokinių (vaikų) pažangą bei suteikti veiksmingą pagalbą įvairių gebėjimų mokiniams (vaikams) – buvo sudarytos galimybės mokiniams (vaikams) siekti kokybiško ugdymo. 100 proc. mokyklos mokytojų vykdo mokinių (vaikų) pažangos ir pasiekimų vertinimą. 2 kartus per metus mokinių pasiekimai ir daroma pažanga aptariama su vaikų tėvais ir Mokytojų tarybos posėdžiuose, priimami sprendimai dėl reikalingos pagalbos teikimo. 25 mokiniai (100 proc.) baigė pradinio ugdymo programą ir įgijo pradinį išsilavinimą. Mokykla dalyvauja Nacionaliniame mokinių pasiekimų patikrinime (toliau – NMPP). 2021 metais mokyklos 4 klasės mokinių NMPP skaitymo surinktas taškų vidurkis siekė 23,9 taško iš maksimalaus galimų taškų skaičiaus – 8,4 proc. didesnis už šalies taškų vidurkį, o matematikos – 32,3 surinktų taškų vidurkis – 16,4 proc. didesnis už šalies taškų vidurkį. 87 pirmų-trečių klasių mokiniai padarė pažangą ir buvo perkelti į aukštesnę klasę, 1 pirmos klasės mokinys paliktas kartoti pirmos klasės </w:t>
                  </w:r>
                  <w:r w:rsidRPr="00145C26">
                    <w:rPr>
                      <w:b/>
                      <w:bCs/>
                      <w:color w:val="000000" w:themeColor="text1"/>
                    </w:rPr>
                    <w:t>ugdymo programos kurso</w:t>
                  </w:r>
                  <w:r w:rsidRPr="00145C26">
                    <w:rPr>
                      <w:color w:val="000000" w:themeColor="text1"/>
                    </w:rPr>
                    <w:t xml:space="preserve">. 2021–2022 m. m. aukštesniuoju lygiu baigė 36 proc. mokinių. Bendras vidutinis metinis mokinių pažangumo rodiklis, lyginant su praėjusiais mokslo metais, sumažėjo 3,0 proc. </w:t>
                  </w:r>
                </w:p>
                <w:p w:rsidR="00145C26" w:rsidRPr="00145C26" w:rsidRDefault="00145C26" w:rsidP="00145C26">
                  <w:pPr>
                    <w:ind w:firstLine="748"/>
                    <w:jc w:val="both"/>
                    <w:rPr>
                      <w:bCs/>
                      <w:color w:val="000000" w:themeColor="text1"/>
                    </w:rPr>
                  </w:pPr>
                  <w:r w:rsidRPr="00145C26">
                    <w:rPr>
                      <w:bCs/>
                      <w:color w:val="000000" w:themeColor="text1"/>
                    </w:rPr>
                    <w:t xml:space="preserve">2021 metais 83 mokiniams, 71 proc. Mokyklos pradinių klasių mokinių, buvo teiktos konsultacijos, skirtos mokinių mokymosi praradimams kompensuoti. Per metus iš viso buvo skirta konsultacinių valandų 1–4 klasėse: 138 valandos – lietuvių kalbai, 50 valandų – matematikai, 34 valandos – anglų kalbai. </w:t>
                  </w:r>
                </w:p>
                <w:p w:rsidR="00145C26" w:rsidRPr="00145C26" w:rsidRDefault="00145C26" w:rsidP="00145C26">
                  <w:pPr>
                    <w:ind w:firstLine="709"/>
                    <w:jc w:val="both"/>
                    <w:rPr>
                      <w:bCs/>
                      <w:color w:val="000000" w:themeColor="text1"/>
                    </w:rPr>
                  </w:pPr>
                  <w:r w:rsidRPr="00145C26">
                    <w:rPr>
                      <w:bCs/>
                      <w:color w:val="000000" w:themeColor="text1"/>
                    </w:rPr>
                    <w:t xml:space="preserve">Mokykloje sėkmingai taikomos prevencinės socialinių įgūdžių programos „Antras žingsnis“, „Zipio draugai“, „Obuolio draugai“ ir emocinio intelekto programa „Kimočis“. </w:t>
                  </w:r>
                  <w:r w:rsidRPr="00145C26">
                    <w:rPr>
                      <w:rFonts w:eastAsia="Calibri"/>
                      <w:bCs/>
                      <w:color w:val="000000" w:themeColor="text1"/>
                      <w:lang w:eastAsia="lt-LT"/>
                    </w:rPr>
                    <w:t xml:space="preserve">Organizuotos 4 neformaliojo vaikų švietimo programos, lavinančios kalbinius, socialinius, technologinius ir </w:t>
                  </w:r>
                  <w:r w:rsidRPr="00145C26">
                    <w:rPr>
                      <w:bCs/>
                      <w:color w:val="000000" w:themeColor="text1"/>
                    </w:rPr>
                    <w:t>emocinius</w:t>
                  </w:r>
                  <w:r w:rsidRPr="00145C26">
                    <w:rPr>
                      <w:rFonts w:eastAsia="Calibri"/>
                      <w:bCs/>
                      <w:color w:val="000000" w:themeColor="text1"/>
                      <w:lang w:eastAsia="lt-LT"/>
                    </w:rPr>
                    <w:t xml:space="preserve"> įgūdžius. Jos teiktos 100 proc. </w:t>
                  </w:r>
                  <w:r w:rsidRPr="00145C26">
                    <w:rPr>
                      <w:bCs/>
                      <w:color w:val="000000" w:themeColor="text1"/>
                    </w:rPr>
                    <w:t xml:space="preserve">Mokyklos mokinių. Logopedo pagalba (1 etatas) buvo teikta 42 vaikams, 17 iš jų – pradinių klasių mokiniams. Vaikų, kuriems suteikta logopedo pagalba, dalis nuo turinčių kalbos ir kalbėjimo sutrikimų vaikų – 60 proc. Nustatyta, kad dar 40 proc. vaikų, turinčių kalbos ir komunikacijų sutrikimų, negauna reikalingos švietimo pagalbos, todėl reikalingi 2 logopedo etatai kokybiškam logopedinės pagalbos teikimui. Kalbos ir kiti komunikacijos sutrikimai visiškai pašalinti 45 proc. vaikų, iš dalies pašalinti – 55 proc. vaikų. Mokykloje veikia 5 pailgintos dienos grupės, kurias lanko 96 mokiniai – 82 proc. visų pradinių klasių mokinių. </w:t>
                  </w:r>
                </w:p>
                <w:p w:rsidR="00145C26" w:rsidRPr="00145C26" w:rsidRDefault="00145C26" w:rsidP="00145C26">
                  <w:pPr>
                    <w:ind w:firstLine="709"/>
                    <w:jc w:val="both"/>
                    <w:rPr>
                      <w:bCs/>
                      <w:color w:val="000000" w:themeColor="text1"/>
                    </w:rPr>
                  </w:pPr>
                  <w:r w:rsidRPr="00145C26">
                    <w:rPr>
                      <w:color w:val="000000" w:themeColor="text1"/>
                    </w:rPr>
                    <w:t xml:space="preserve">Mokiniai buvo skatinami dalyvauti miesto, šalies bei tarptautiniuose konkursuose ir olimpiadose. Pasiekti aukšti rezultatai </w:t>
                  </w:r>
                  <w:r w:rsidRPr="00145C26">
                    <w:rPr>
                      <w:bCs/>
                      <w:color w:val="000000" w:themeColor="text1"/>
                      <w:shd w:val="clear" w:color="auto" w:fill="FFFFFF"/>
                    </w:rPr>
                    <w:t xml:space="preserve">Lietuvos pradinukų matematikos olimpiadoje 3–4 klasių mokiniams Klaipėdos miesto etape (3 vieta), </w:t>
                  </w:r>
                  <w:r w:rsidRPr="00145C26">
                    <w:rPr>
                      <w:bCs/>
                      <w:color w:val="000000" w:themeColor="text1"/>
                      <w:lang w:eastAsia="lt-LT"/>
                    </w:rPr>
                    <w:t xml:space="preserve">Klaipėdos miesto pradinių klasių mokinių dailyraščio konkurse „Dailus raštas akį glosto 2021“ (2, 3 vietos), </w:t>
                  </w:r>
                  <w:r w:rsidRPr="00145C26">
                    <w:rPr>
                      <w:bCs/>
                      <w:color w:val="000000" w:themeColor="text1"/>
                      <w:shd w:val="clear" w:color="auto" w:fill="FFFFFF"/>
                    </w:rPr>
                    <w:t xml:space="preserve">tarptautiniame integruotame dailės ir technologijų bei anglų kalbos virtualiame konkurse „My Pet“ (2 vieta), </w:t>
                  </w:r>
                  <w:r w:rsidRPr="00145C26">
                    <w:rPr>
                      <w:bCs/>
                      <w:color w:val="000000" w:themeColor="text1"/>
                      <w:lang w:eastAsia="lt-LT"/>
                    </w:rPr>
                    <w:t>respublikiniame 4 klasių mokinių pateikčių anglų kalba čempionate „English Speech Championship 2021“ (2 vieta),</w:t>
                  </w:r>
                  <w:r w:rsidRPr="00145C26">
                    <w:rPr>
                      <w:bCs/>
                      <w:color w:val="000000" w:themeColor="text1"/>
                      <w:shd w:val="clear" w:color="auto" w:fill="FFFFFF"/>
                    </w:rPr>
                    <w:t xml:space="preserve"> respublikiniame 3–4 klasių laiško rašymo anglų kalba konkurse „A Short Story About My Teacher“ (1, 2 vietos), respublikiniame 1–4 klasių integruotame anglų kalbos bei dailės ir technologijų kūrybinių darbų konkurse „Kuriu žiemužės pasaką“ (2 vieta), </w:t>
                  </w:r>
                  <w:r w:rsidRPr="00145C26">
                    <w:rPr>
                      <w:bCs/>
                      <w:color w:val="000000" w:themeColor="text1"/>
                    </w:rPr>
                    <w:t>respublikiniame konkurse „Kalbų Kengūra 2021“ (10 Auksinių, 2 Sidabriniai, 2 Oranžiniai anglų kalbos diplomai, 3 Sidabriniai, 1 Oranžinis lietuvių kalbos Kengūros diplomai),</w:t>
                  </w:r>
                  <w:r w:rsidRPr="00145C26">
                    <w:rPr>
                      <w:color w:val="000000" w:themeColor="text1"/>
                    </w:rPr>
                    <w:t xml:space="preserve"> </w:t>
                  </w:r>
                  <w:r w:rsidRPr="00145C26">
                    <w:rPr>
                      <w:bCs/>
                      <w:color w:val="000000" w:themeColor="text1"/>
                    </w:rPr>
                    <w:t>anglų kalbos, matematikos, informacinių technologijų, biologijos konkursuose „Olympis 2021“,</w:t>
                  </w:r>
                  <w:r w:rsidRPr="00145C26">
                    <w:rPr>
                      <w:color w:val="000000" w:themeColor="text1"/>
                    </w:rPr>
                    <w:t xml:space="preserve"> </w:t>
                  </w:r>
                  <w:r w:rsidRPr="00145C26">
                    <w:rPr>
                      <w:bCs/>
                      <w:color w:val="000000" w:themeColor="text1"/>
                      <w:shd w:val="clear" w:color="auto" w:fill="FFFFFF"/>
                    </w:rPr>
                    <w:t>vertimų ir iliustracijų projekte „Tavo Žvilgsnis 2021“.</w:t>
                  </w:r>
                </w:p>
                <w:p w:rsidR="00145C26" w:rsidRPr="00145C26" w:rsidRDefault="00145C26" w:rsidP="00145C26">
                  <w:pPr>
                    <w:tabs>
                      <w:tab w:val="left" w:pos="1134"/>
                    </w:tabs>
                    <w:ind w:left="5" w:firstLine="709"/>
                    <w:contextualSpacing/>
                    <w:jc w:val="both"/>
                    <w:rPr>
                      <w:rFonts w:eastAsiaTheme="minorHAnsi"/>
                      <w:color w:val="000000" w:themeColor="text1"/>
                    </w:rPr>
                  </w:pPr>
                  <w:r w:rsidRPr="00145C26">
                    <w:rPr>
                      <w:rFonts w:eastAsiaTheme="minorHAnsi"/>
                      <w:color w:val="000000" w:themeColor="text1"/>
                    </w:rPr>
                    <w:t>Siekiant įgyvendinti Strateginio plano antrąjį tikslą – užtikrinti sveiką, saugią ir šiuolaikinius ugdymo(si) reikalavimus atliepiančią aplinką – mokyklos veikla buvo orientuojama į mokyklos bendruomenės telkimą tapti darnia lyderių komanda, kuriančia mokyklos kultūrą ir palankų mikroklimatą. Tikslams pasiekti buvo vykdomi du Veiklos plano uždaviniai.</w:t>
                  </w:r>
                </w:p>
                <w:p w:rsidR="00145C26" w:rsidRPr="00145C26" w:rsidRDefault="00145C26" w:rsidP="00145C26">
                  <w:pPr>
                    <w:ind w:firstLine="714"/>
                    <w:jc w:val="both"/>
                    <w:rPr>
                      <w:color w:val="000000" w:themeColor="text1"/>
                    </w:rPr>
                  </w:pPr>
                  <w:r w:rsidRPr="00145C26">
                    <w:rPr>
                      <w:color w:val="000000" w:themeColor="text1"/>
                    </w:rPr>
                    <w:t xml:space="preserve">Įgyvendinant pirmąjį uždavinį – skatinti mokytojus tobulinti kompetencijas, kvalifikaciją </w:t>
                  </w:r>
                  <w:r w:rsidRPr="00145C26">
                    <w:rPr>
                      <w:color w:val="000000" w:themeColor="text1"/>
                    </w:rPr>
                    <w:lastRenderedPageBreak/>
                    <w:t xml:space="preserve">ir komunikaciją – Mokykloje buvo tobulinti ir atnaujinti dokumentai, skatintos mokytojų iniciatyvos, bendradarbiaujama su KU, plėtoti kultūriniai mainai su užsienio mokyklomis, vykdytas tarpdalykinis bendradarbiavimas su socialiniais partneriais. Pažymėtinas mokytojų aktyvus dalyvavimas įvairiuose šalies ir mokyklos projektuose bei renginiuose. Mokykloje dirba pedagogai, turintys šias kvalifikacines kategorijas: 6 – mokytojo, 12 – vyresniojo mokytojo, 12 – mokytojo metodininko ir 1 – eksperto. 17 pedagogų turi didesnį nei 25 metų pedagoginio darbo stažą, 5 – nuo 20 iki 25 metų, 1 – nuo 15 iki 20 metų, 4 – nuo 5 iki 10 m., 4 – nuo 2 iki 5 m. darbo stažo. 2021 metais 1 mokytojas įgijo vyr. mokytojo kvalifikacinę kategoriją. Tobulindami kvalifikaciją 2021 metais visi mokytojai didelį dėmesį skyrė skaitmeniniam raštingumui, mokinių asmeninės pažangos stebėjimui ir į(si)vertinimui, gabių vaikų atpažinimui ir ugdymui, vaikų emocinio intelekto ir socialinių kompetencijų ugdymui, pozityvios emocinės aplinkos stiprinimui. 28 pedagogai (90,3 proc.) dalyvavo kvalifikacijos tobulinimo seminaruose. 12 mokytojų baigė Specialiosios pedagogikos ir specialiosios psichologijos kvalifikacijos tobulinimo kursus, 1 – dalyvauja Teachers Lead Tech mokymų programoje. Tikslingai pasirinkdamas kvalifikacijos tobulinimo seminarus, kiekvienas pedagogas vidutiniškai kvalifikaciją tobulino po 12,1 dienos per metus – 18,7 proc. mažiau nei 2020 metais. Visiems darbuotojams organizuotas seminaras „Pozityvių santykių kūrimas mokykloje, bendravimas be streso ir asmeninė motyvacija pandemijos laikotarpiu“. 12 mokytojų dalinosi gerąja patirtimi Klaipėdos miesto ir </w:t>
                  </w:r>
                  <w:r w:rsidRPr="00145C26">
                    <w:rPr>
                      <w:rFonts w:eastAsia="Calibri"/>
                      <w:color w:val="000000" w:themeColor="text1"/>
                    </w:rPr>
                    <w:t>šalies</w:t>
                  </w:r>
                  <w:r w:rsidRPr="00145C26">
                    <w:rPr>
                      <w:color w:val="000000" w:themeColor="text1"/>
                    </w:rPr>
                    <w:t xml:space="preserve"> metodinėse dienose. Organizuotos 5 gerosios patirties sklaidos pamokos (veiklos) Mokyklos mokytojams. Mokykloje pedagoginę praktiką atliko 2 KU studentai. </w:t>
                  </w:r>
                  <w:r w:rsidRPr="00145C26">
                    <w:rPr>
                      <w:color w:val="000000" w:themeColor="text1"/>
                      <w:szCs w:val="20"/>
                      <w:lang w:eastAsia="lt-LT"/>
                    </w:rPr>
                    <w:t xml:space="preserve">2021 metais tęsiamas ERASMUS+ KA2 projektas WINTER, kuriame mokytojai dalijasi gerąja patirtimi su Vokietijos, Suomijos, Švedijos ir Rumunijos partneriais. Pažintis su skirtingomis organizacijomis iš partnerių šalių, sėkmingais veiklos pavyzdžiais, kaip stiprinti bendruomenės narių įtrauktį į komandinį darbą per sveikatinimą, meną, sportą, atvirą bei draugišką bendradarbiavimą, leido mokytojams tapti atviresniais naujovėms, iniciatyvesniais, labiau motyvuotais mokytis ir tobulėti, o svarbiausia – veikti. </w:t>
                  </w:r>
                </w:p>
                <w:p w:rsidR="00145C26" w:rsidRPr="00145C26" w:rsidRDefault="00145C26" w:rsidP="00145C26">
                  <w:pPr>
                    <w:ind w:firstLine="714"/>
                    <w:jc w:val="both"/>
                    <w:rPr>
                      <w:color w:val="000000" w:themeColor="text1"/>
                    </w:rPr>
                  </w:pPr>
                  <w:r w:rsidRPr="00145C26">
                    <w:rPr>
                      <w:color w:val="000000" w:themeColor="text1"/>
                    </w:rPr>
                    <w:t>Įgyvendinant antrąjį uždavinį – kurti dinamiškas, vaikams atviras ir informatyvias ugdymo aplinkas – Mokyklos išlaikymui skirtos lėšos naudotos racionaliai ir taupiai, sprendimai dėl jų panaudojimo derinti su Mokyklos ir Tėvų tarybomis.</w:t>
                  </w:r>
                </w:p>
                <w:p w:rsidR="00145C26" w:rsidRPr="00145C26" w:rsidRDefault="00145C26" w:rsidP="00145C26">
                  <w:pPr>
                    <w:ind w:firstLine="748"/>
                    <w:jc w:val="both"/>
                    <w:rPr>
                      <w:bCs/>
                      <w:color w:val="000000" w:themeColor="text1"/>
                      <w:lang w:eastAsia="lt-LT"/>
                    </w:rPr>
                  </w:pPr>
                  <w:r w:rsidRPr="00145C26">
                    <w:rPr>
                      <w:rFonts w:eastAsia="Calibri"/>
                      <w:bCs/>
                      <w:color w:val="000000" w:themeColor="text1"/>
                      <w:lang w:eastAsia="lt-LT"/>
                    </w:rPr>
                    <w:t xml:space="preserve">2021 metais 5 pradinėse klasėse įrengta stacionari hibridinės klasės sistema, kuriai </w:t>
                  </w:r>
                  <w:r w:rsidRPr="00145C26">
                    <w:rPr>
                      <w:bCs/>
                      <w:color w:val="000000" w:themeColor="text1"/>
                    </w:rPr>
                    <w:t>panaudota 35,0 tūkst. Eur valstybės biudžeto specialiosios tikslinės dotacijos lėšų. Įsigytos skaitmeninio turinio programos: EDUKA klasės licencijos 8 mokytojams ir 52 mokiniams, EMA pamokų licencijos 5 mokytojams ir 188 mokiniams, skaitmeninės bibliotekos VYTURYS licencijos 7 mokytojams ir 117 mokinių. Pakeistas elektroninis dienynas. Nuo 2021 m. rugsėjo 1 d. įdiegtas elektroninis dienynas „Mano dienynas“.</w:t>
                  </w:r>
                  <w:r w:rsidRPr="00145C26">
                    <w:rPr>
                      <w:bCs/>
                      <w:color w:val="000000" w:themeColor="text1"/>
                      <w:lang w:eastAsia="lt-LT"/>
                    </w:rPr>
                    <w:t xml:space="preserve"> Visi 26 mokytojai (100 proc.), 13 proc. daugiau negu 2020 metais, IKT naudoja klasės darbui organizuoti.</w:t>
                  </w:r>
                </w:p>
                <w:p w:rsidR="00145C26" w:rsidRPr="00145C26" w:rsidRDefault="00145C26" w:rsidP="00145C26">
                  <w:pPr>
                    <w:ind w:firstLine="748"/>
                    <w:jc w:val="both"/>
                    <w:rPr>
                      <w:b/>
                      <w:color w:val="000000" w:themeColor="text1"/>
                      <w:lang w:eastAsia="lt-LT"/>
                    </w:rPr>
                  </w:pPr>
                  <w:r w:rsidRPr="00145C26">
                    <w:rPr>
                      <w:bCs/>
                      <w:color w:val="000000" w:themeColor="text1"/>
                    </w:rPr>
                    <w:t>2021 metais Mokyklos paramos, rėmėjų bei savivaldybės lėšomis atlikti materialinės bazės atnaujinimo darbai: nupirkti nauji vadovėliai ir mokymo priemonės, pastiprintas bevielio interneto ryšys, suremontuotos 3 ugdymo patalpos, pakeisti vidaus patalpų ir lauko šviestuvai, įsigyti 6 nauji lauko žaidimo įrengimai.</w:t>
                  </w:r>
                </w:p>
                <w:p w:rsidR="00145C26" w:rsidRPr="00145C26" w:rsidRDefault="00145C26" w:rsidP="00145C26">
                  <w:pPr>
                    <w:ind w:firstLine="709"/>
                    <w:jc w:val="both"/>
                    <w:rPr>
                      <w:bCs/>
                      <w:color w:val="000000" w:themeColor="text1"/>
                    </w:rPr>
                  </w:pPr>
                  <w:r w:rsidRPr="00145C26">
                    <w:rPr>
                      <w:bCs/>
                      <w:color w:val="000000" w:themeColor="text1"/>
                    </w:rPr>
                    <w:t>2021 metais Mokyklos finansinė situacija buvo tokia:</w:t>
                  </w:r>
                </w:p>
                <w:p w:rsidR="00145C26" w:rsidRPr="00145C26" w:rsidRDefault="00145C26" w:rsidP="00145C26">
                  <w:pPr>
                    <w:jc w:val="both"/>
                    <w:rPr>
                      <w:b/>
                      <w:color w:val="000000" w:themeColor="text1"/>
                    </w:rPr>
                  </w:pPr>
                </w:p>
                <w:tbl>
                  <w:tblPr>
                    <w:tblStyle w:val="Lentelstinklelis"/>
                    <w:tblW w:w="0" w:type="auto"/>
                    <w:tblInd w:w="736" w:type="dxa"/>
                    <w:tblLook w:val="04A0" w:firstRow="1" w:lastRow="0" w:firstColumn="1" w:lastColumn="0" w:noHBand="0" w:noVBand="1"/>
                  </w:tblPr>
                  <w:tblGrid>
                    <w:gridCol w:w="1628"/>
                    <w:gridCol w:w="1494"/>
                    <w:gridCol w:w="1438"/>
                    <w:gridCol w:w="1283"/>
                    <w:gridCol w:w="2494"/>
                  </w:tblGrid>
                  <w:tr w:rsidR="00145C26" w:rsidRPr="00145C26" w:rsidTr="000F6C48">
                    <w:tc>
                      <w:tcPr>
                        <w:tcW w:w="1628" w:type="dxa"/>
                        <w:vMerge w:val="restart"/>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jc w:val="center"/>
                          <w:rPr>
                            <w:color w:val="000000" w:themeColor="text1"/>
                          </w:rPr>
                        </w:pPr>
                        <w:r w:rsidRPr="00145C26">
                          <w:rPr>
                            <w:color w:val="000000" w:themeColor="text1"/>
                          </w:rPr>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jc w:val="center"/>
                          <w:rPr>
                            <w:color w:val="000000" w:themeColor="text1"/>
                          </w:rPr>
                        </w:pPr>
                        <w:r w:rsidRPr="00145C26">
                          <w:rPr>
                            <w:color w:val="000000" w:themeColor="text1"/>
                          </w:rPr>
                          <w:t>Lėšos (tūkst. eurų)</w:t>
                        </w:r>
                      </w:p>
                    </w:tc>
                    <w:tc>
                      <w:tcPr>
                        <w:tcW w:w="2494" w:type="dxa"/>
                        <w:vMerge w:val="restart"/>
                        <w:tcBorders>
                          <w:top w:val="single" w:sz="4" w:space="0" w:color="auto"/>
                          <w:left w:val="single" w:sz="4" w:space="0" w:color="auto"/>
                          <w:right w:val="single" w:sz="4" w:space="0" w:color="auto"/>
                        </w:tcBorders>
                      </w:tcPr>
                      <w:p w:rsidR="00145C26" w:rsidRPr="00145C26" w:rsidRDefault="00145C26" w:rsidP="00145C26">
                        <w:pPr>
                          <w:jc w:val="both"/>
                          <w:rPr>
                            <w:color w:val="000000" w:themeColor="text1"/>
                          </w:rPr>
                        </w:pPr>
                        <w:r w:rsidRPr="00145C26">
                          <w:rPr>
                            <w:color w:val="000000" w:themeColor="text1"/>
                          </w:rPr>
                          <w:t>Pastabos</w:t>
                        </w:r>
                      </w:p>
                      <w:p w:rsidR="00145C26" w:rsidRPr="00145C26" w:rsidRDefault="00145C26" w:rsidP="00145C26">
                        <w:pPr>
                          <w:jc w:val="center"/>
                          <w:rPr>
                            <w:color w:val="000000" w:themeColor="text1"/>
                          </w:rPr>
                        </w:pPr>
                      </w:p>
                    </w:tc>
                  </w:tr>
                  <w:tr w:rsidR="00145C26" w:rsidRPr="00145C26" w:rsidTr="000F6C48">
                    <w:tc>
                      <w:tcPr>
                        <w:tcW w:w="1628" w:type="dxa"/>
                        <w:vMerge/>
                        <w:tcBorders>
                          <w:top w:val="single" w:sz="4" w:space="0" w:color="auto"/>
                          <w:left w:val="single" w:sz="4" w:space="0" w:color="auto"/>
                          <w:bottom w:val="single" w:sz="4" w:space="0" w:color="auto"/>
                          <w:right w:val="single" w:sz="4" w:space="0" w:color="auto"/>
                        </w:tcBorders>
                        <w:vAlign w:val="center"/>
                        <w:hideMark/>
                      </w:tcPr>
                      <w:p w:rsidR="00145C26" w:rsidRPr="00145C26" w:rsidRDefault="00145C26" w:rsidP="00145C26">
                        <w:pPr>
                          <w:rPr>
                            <w:color w:val="000000" w:themeColor="text1"/>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rPr>
                            <w:color w:val="000000" w:themeColor="text1"/>
                          </w:rPr>
                        </w:pPr>
                        <w:r w:rsidRPr="00145C26">
                          <w:rPr>
                            <w:color w:val="000000" w:themeColor="text1"/>
                          </w:rPr>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rPr>
                            <w:color w:val="000000" w:themeColor="text1"/>
                          </w:rPr>
                        </w:pPr>
                        <w:r w:rsidRPr="00145C26">
                          <w:rPr>
                            <w:color w:val="000000" w:themeColor="text1"/>
                          </w:rP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rPr>
                            <w:color w:val="000000" w:themeColor="text1"/>
                          </w:rPr>
                        </w:pPr>
                        <w:r w:rsidRPr="00145C26">
                          <w:rPr>
                            <w:color w:val="000000" w:themeColor="text1"/>
                          </w:rPr>
                          <w:t>Įvykdymas (%)</w:t>
                        </w:r>
                      </w:p>
                    </w:tc>
                    <w:tc>
                      <w:tcPr>
                        <w:tcW w:w="2494" w:type="dxa"/>
                        <w:vMerge/>
                        <w:tcBorders>
                          <w:left w:val="single" w:sz="4" w:space="0" w:color="auto"/>
                          <w:bottom w:val="single" w:sz="4" w:space="0" w:color="auto"/>
                          <w:right w:val="single" w:sz="4" w:space="0" w:color="auto"/>
                        </w:tcBorders>
                      </w:tcPr>
                      <w:p w:rsidR="00145C26" w:rsidRPr="00145C26" w:rsidRDefault="00145C26" w:rsidP="00145C26">
                        <w:pPr>
                          <w:rPr>
                            <w:color w:val="000000" w:themeColor="text1"/>
                          </w:rPr>
                        </w:pPr>
                      </w:p>
                    </w:tc>
                  </w:tr>
                  <w:tr w:rsidR="00145C26" w:rsidRPr="00145C26" w:rsidTr="000F6C48">
                    <w:trPr>
                      <w:trHeight w:val="415"/>
                    </w:trPr>
                    <w:tc>
                      <w:tcPr>
                        <w:tcW w:w="1628" w:type="dxa"/>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rPr>
                            <w:color w:val="000000" w:themeColor="text1"/>
                          </w:rPr>
                        </w:pPr>
                        <w:r w:rsidRPr="00145C26">
                          <w:rPr>
                            <w:color w:val="000000" w:themeColor="text1"/>
                          </w:rPr>
                          <w:t>Savivaldybės biudžetas (SB)</w:t>
                        </w:r>
                      </w:p>
                    </w:tc>
                    <w:tc>
                      <w:tcPr>
                        <w:tcW w:w="1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426,00</w:t>
                        </w:r>
                      </w:p>
                    </w:tc>
                    <w:tc>
                      <w:tcPr>
                        <w:tcW w:w="1438"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424,97</w:t>
                        </w:r>
                      </w:p>
                    </w:tc>
                    <w:tc>
                      <w:tcPr>
                        <w:tcW w:w="1283"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98 (%)</w:t>
                        </w:r>
                      </w:p>
                    </w:tc>
                    <w:tc>
                      <w:tcPr>
                        <w:tcW w:w="2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 xml:space="preserve">Liko nepanaudotos ligos pašalpos lėšos – 567,91 Eur </w:t>
                        </w:r>
                      </w:p>
                    </w:tc>
                  </w:tr>
                  <w:tr w:rsidR="00145C26" w:rsidRPr="00145C26" w:rsidTr="000F6C48">
                    <w:tc>
                      <w:tcPr>
                        <w:tcW w:w="1628" w:type="dxa"/>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rPr>
                            <w:color w:val="000000" w:themeColor="text1"/>
                          </w:rPr>
                        </w:pPr>
                        <w:r w:rsidRPr="00145C26">
                          <w:rPr>
                            <w:color w:val="000000" w:themeColor="text1"/>
                          </w:rPr>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422,55</w:t>
                        </w:r>
                      </w:p>
                    </w:tc>
                    <w:tc>
                      <w:tcPr>
                        <w:tcW w:w="1438"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422,27</w:t>
                        </w:r>
                      </w:p>
                    </w:tc>
                    <w:tc>
                      <w:tcPr>
                        <w:tcW w:w="1283"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99,9 (%)</w:t>
                        </w:r>
                      </w:p>
                    </w:tc>
                    <w:tc>
                      <w:tcPr>
                        <w:tcW w:w="2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p>
                    </w:tc>
                  </w:tr>
                  <w:tr w:rsidR="00145C26" w:rsidRPr="00145C26" w:rsidTr="000F6C48">
                    <w:tc>
                      <w:tcPr>
                        <w:tcW w:w="1628" w:type="dxa"/>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rPr>
                            <w:color w:val="000000" w:themeColor="text1"/>
                          </w:rPr>
                        </w:pPr>
                        <w:r w:rsidRPr="00145C26">
                          <w:rPr>
                            <w:color w:val="000000" w:themeColor="text1"/>
                          </w:rPr>
                          <w:t xml:space="preserve">Įstaigos </w:t>
                        </w:r>
                        <w:r w:rsidRPr="00145C26">
                          <w:rPr>
                            <w:color w:val="000000" w:themeColor="text1"/>
                          </w:rPr>
                          <w:lastRenderedPageBreak/>
                          <w:t>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lastRenderedPageBreak/>
                          <w:t>108,00</w:t>
                        </w:r>
                      </w:p>
                    </w:tc>
                    <w:tc>
                      <w:tcPr>
                        <w:tcW w:w="1438"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89,62</w:t>
                        </w:r>
                      </w:p>
                    </w:tc>
                    <w:tc>
                      <w:tcPr>
                        <w:tcW w:w="1283"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p>
                    </w:tc>
                    <w:tc>
                      <w:tcPr>
                        <w:tcW w:w="2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p>
                    </w:tc>
                  </w:tr>
                  <w:tr w:rsidR="00145C26" w:rsidRPr="00145C26" w:rsidTr="000F6C48">
                    <w:trPr>
                      <w:trHeight w:val="477"/>
                    </w:trPr>
                    <w:tc>
                      <w:tcPr>
                        <w:tcW w:w="1628" w:type="dxa"/>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rPr>
                            <w:color w:val="000000" w:themeColor="text1"/>
                          </w:rPr>
                        </w:pPr>
                        <w:r w:rsidRPr="00145C26">
                          <w:rPr>
                            <w:color w:val="000000" w:themeColor="text1"/>
                          </w:rPr>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rPr>
                            <w:color w:val="000000" w:themeColor="text1"/>
                          </w:rPr>
                        </w:pPr>
                        <w:r w:rsidRPr="00145C26">
                          <w:rPr>
                            <w:color w:val="000000" w:themeColor="text1"/>
                          </w:rPr>
                          <w:t>89,62</w:t>
                        </w:r>
                      </w:p>
                    </w:tc>
                    <w:tc>
                      <w:tcPr>
                        <w:tcW w:w="1438"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85,13</w:t>
                        </w:r>
                      </w:p>
                    </w:tc>
                    <w:tc>
                      <w:tcPr>
                        <w:tcW w:w="1283"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95 (%)</w:t>
                        </w:r>
                      </w:p>
                    </w:tc>
                    <w:tc>
                      <w:tcPr>
                        <w:tcW w:w="2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 xml:space="preserve">Vaikams, kurie nelankė darželio karantino metu nuo 2021 m. sausio 1 d. iki birželio 30 d., nebuvo skaičiuojamas abonentinis mokestis </w:t>
                        </w:r>
                      </w:p>
                    </w:tc>
                  </w:tr>
                  <w:tr w:rsidR="00145C26" w:rsidRPr="00145C26" w:rsidTr="000F6C48">
                    <w:trPr>
                      <w:trHeight w:val="125"/>
                    </w:trPr>
                    <w:tc>
                      <w:tcPr>
                        <w:tcW w:w="1628" w:type="dxa"/>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rPr>
                            <w:color w:val="000000" w:themeColor="text1"/>
                          </w:rPr>
                        </w:pPr>
                        <w:r w:rsidRPr="00145C26">
                          <w:rPr>
                            <w:color w:val="000000" w:themeColor="text1"/>
                          </w:rPr>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4,60</w:t>
                        </w:r>
                      </w:p>
                    </w:tc>
                    <w:tc>
                      <w:tcPr>
                        <w:tcW w:w="1438"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2,81</w:t>
                        </w:r>
                      </w:p>
                    </w:tc>
                    <w:tc>
                      <w:tcPr>
                        <w:tcW w:w="1283"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p>
                    </w:tc>
                    <w:tc>
                      <w:tcPr>
                        <w:tcW w:w="2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p>
                    </w:tc>
                  </w:tr>
                  <w:tr w:rsidR="00145C26" w:rsidRPr="00145C26" w:rsidTr="000F6C48">
                    <w:tc>
                      <w:tcPr>
                        <w:tcW w:w="1628" w:type="dxa"/>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rPr>
                            <w:color w:val="000000" w:themeColor="text1"/>
                          </w:rPr>
                        </w:pPr>
                        <w:r w:rsidRPr="00145C26">
                          <w:rPr>
                            <w:color w:val="000000" w:themeColor="text1"/>
                          </w:rPr>
                          <w:t>Kitos lėšos (parama 1,2 % GM ir kt.)</w:t>
                        </w:r>
                      </w:p>
                    </w:tc>
                    <w:tc>
                      <w:tcPr>
                        <w:tcW w:w="1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7,59</w:t>
                        </w:r>
                      </w:p>
                    </w:tc>
                    <w:tc>
                      <w:tcPr>
                        <w:tcW w:w="1438"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2,44</w:t>
                        </w:r>
                      </w:p>
                    </w:tc>
                    <w:tc>
                      <w:tcPr>
                        <w:tcW w:w="1283"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p>
                    </w:tc>
                    <w:tc>
                      <w:tcPr>
                        <w:tcW w:w="2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p>
                    </w:tc>
                  </w:tr>
                  <w:tr w:rsidR="00145C26" w:rsidRPr="00145C26" w:rsidTr="000F6C48">
                    <w:trPr>
                      <w:trHeight w:val="430"/>
                    </w:trPr>
                    <w:tc>
                      <w:tcPr>
                        <w:tcW w:w="1628" w:type="dxa"/>
                        <w:tcBorders>
                          <w:top w:val="single" w:sz="4" w:space="0" w:color="auto"/>
                          <w:left w:val="single" w:sz="4" w:space="0" w:color="auto"/>
                          <w:bottom w:val="single" w:sz="4" w:space="0" w:color="auto"/>
                          <w:right w:val="single" w:sz="4" w:space="0" w:color="auto"/>
                        </w:tcBorders>
                        <w:hideMark/>
                      </w:tcPr>
                      <w:p w:rsidR="00145C26" w:rsidRPr="00145C26" w:rsidRDefault="00145C26" w:rsidP="00145C26">
                        <w:pPr>
                          <w:rPr>
                            <w:color w:val="000000" w:themeColor="text1"/>
                          </w:rPr>
                        </w:pPr>
                        <w:r w:rsidRPr="00145C26">
                          <w:rPr>
                            <w:color w:val="000000" w:themeColor="text1"/>
                          </w:rPr>
                          <w:t>Iš viso</w:t>
                        </w:r>
                      </w:p>
                    </w:tc>
                    <w:tc>
                      <w:tcPr>
                        <w:tcW w:w="1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1058,36</w:t>
                        </w:r>
                      </w:p>
                    </w:tc>
                    <w:tc>
                      <w:tcPr>
                        <w:tcW w:w="1438"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1027,23</w:t>
                        </w:r>
                      </w:p>
                    </w:tc>
                    <w:tc>
                      <w:tcPr>
                        <w:tcW w:w="1283"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p>
                    </w:tc>
                    <w:tc>
                      <w:tcPr>
                        <w:tcW w:w="2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p>
                    </w:tc>
                  </w:tr>
                  <w:tr w:rsidR="00145C26" w:rsidRPr="00145C26" w:rsidTr="000F6C48">
                    <w:tc>
                      <w:tcPr>
                        <w:tcW w:w="4560" w:type="dxa"/>
                        <w:gridSpan w:val="3"/>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1,31</w:t>
                        </w:r>
                      </w:p>
                    </w:tc>
                    <w:tc>
                      <w:tcPr>
                        <w:tcW w:w="2494" w:type="dxa"/>
                        <w:tcBorders>
                          <w:top w:val="single" w:sz="4" w:space="0" w:color="auto"/>
                          <w:left w:val="single" w:sz="4" w:space="0" w:color="auto"/>
                          <w:bottom w:val="single" w:sz="4" w:space="0" w:color="auto"/>
                          <w:right w:val="single" w:sz="4" w:space="0" w:color="auto"/>
                        </w:tcBorders>
                      </w:tcPr>
                      <w:p w:rsidR="00145C26" w:rsidRPr="00145C26" w:rsidRDefault="00145C26" w:rsidP="00145C26">
                        <w:pPr>
                          <w:rPr>
                            <w:color w:val="000000" w:themeColor="text1"/>
                          </w:rPr>
                        </w:pPr>
                        <w:r w:rsidRPr="00145C26">
                          <w:rPr>
                            <w:color w:val="000000" w:themeColor="text1"/>
                          </w:rPr>
                          <w:t>Apmokėtos tik iki 2021 m. gruodžio 23 d. gautos sąskaitos už maisto produktus</w:t>
                        </w:r>
                      </w:p>
                    </w:tc>
                  </w:tr>
                </w:tbl>
                <w:p w:rsidR="00145C26" w:rsidRPr="00145C26" w:rsidRDefault="00145C26" w:rsidP="00145C26">
                  <w:pPr>
                    <w:tabs>
                      <w:tab w:val="left" w:pos="284"/>
                      <w:tab w:val="left" w:pos="426"/>
                    </w:tabs>
                    <w:jc w:val="both"/>
                    <w:rPr>
                      <w:b/>
                      <w:color w:val="000000" w:themeColor="text1"/>
                    </w:rPr>
                  </w:pPr>
                </w:p>
                <w:p w:rsidR="00145C26" w:rsidRPr="00145C26" w:rsidRDefault="00145C26" w:rsidP="00145C26">
                  <w:pPr>
                    <w:tabs>
                      <w:tab w:val="left" w:pos="284"/>
                      <w:tab w:val="left" w:pos="426"/>
                    </w:tabs>
                    <w:ind w:firstLine="567"/>
                    <w:jc w:val="both"/>
                    <w:rPr>
                      <w:color w:val="000000" w:themeColor="text1"/>
                      <w:u w:val="single"/>
                      <w:lang w:eastAsia="lt-LT"/>
                    </w:rPr>
                  </w:pPr>
                  <w:r w:rsidRPr="00145C26">
                    <w:rPr>
                      <w:color w:val="000000" w:themeColor="text1"/>
                    </w:rPr>
                    <w:t xml:space="preserve">Mokykloje 2021 metais buvo atliktas vienas Nacionalinio visuomenės sveikatos centro patikrinimas dėl karantino režimo priemonių laikymosi kontrolės ir vienas Valstybinės maisto ir veterinarijos tarnybos patikrinimas dėl maisto saugos, kokybės bei higienos. Pažeidimų nenustatyta. </w:t>
                  </w:r>
                </w:p>
                <w:p w:rsidR="00145C26" w:rsidRPr="00145C26" w:rsidRDefault="00145C26" w:rsidP="00145C26">
                  <w:pPr>
                    <w:ind w:firstLine="567"/>
                    <w:jc w:val="both"/>
                    <w:rPr>
                      <w:color w:val="000000" w:themeColor="text1"/>
                    </w:rPr>
                  </w:pPr>
                  <w:r w:rsidRPr="00145C26">
                    <w:rPr>
                      <w:color w:val="000000" w:themeColor="text1"/>
                    </w:rPr>
                    <w:t xml:space="preserve">2021 metais Mokykloje liko neišspręstos tokios vidaus ir išorės faktorių sąlygotos problemos: pagal patvirtintą </w:t>
                  </w:r>
                  <w:r w:rsidRPr="00145C26">
                    <w:t>Klaipėdos miesto savivaldybės bendrojo ugdymo mokyklų tinklo pertvarkos 2021–2025 metų bendrąjį planą – neaiški Mokyklos ateitis.</w:t>
                  </w:r>
                </w:p>
                <w:p w:rsidR="00145C26" w:rsidRPr="00145C26" w:rsidRDefault="00145C26" w:rsidP="00145C26">
                  <w:pPr>
                    <w:ind w:firstLine="567"/>
                    <w:jc w:val="both"/>
                    <w:rPr>
                      <w:color w:val="000000" w:themeColor="text1"/>
                    </w:rPr>
                  </w:pPr>
                  <w:r w:rsidRPr="00145C26">
                    <w:rPr>
                      <w:color w:val="000000" w:themeColor="text1"/>
                    </w:rPr>
                    <w:t xml:space="preserve">Planuodama 2022 metų veiklą, bendruomenė susitarė dėl veiklos prioriteto – užtikrinti ugdymo kokybę, grįstą mokytojų lyderyste. Mokyklos veiklos tikslai – užtikrinti individualią kiekvieno vaiko pažangą, plėtojant vaikų pažangos stebėseną ir į(si)vertinimą bei puoselėti bendruomenės savitarpio pagalbos bendradarbiavimo kultūrą, prisiimant atsakomybę už mokinių sėkmę. </w:t>
                  </w:r>
                </w:p>
              </w:tc>
            </w:tr>
          </w:tbl>
          <w:p w:rsidR="00145C26" w:rsidRPr="00145C26" w:rsidRDefault="00145C26" w:rsidP="00145C26">
            <w:pPr>
              <w:ind w:firstLine="567"/>
              <w:jc w:val="both"/>
              <w:rPr>
                <w:color w:val="000000" w:themeColor="text1"/>
              </w:rPr>
            </w:pPr>
          </w:p>
        </w:tc>
      </w:tr>
    </w:tbl>
    <w:p w:rsidR="00145C26" w:rsidRPr="00145C26" w:rsidRDefault="00145C26" w:rsidP="00145C26">
      <w:pPr>
        <w:ind w:firstLine="709"/>
        <w:jc w:val="both"/>
      </w:pPr>
    </w:p>
    <w:p w:rsidR="00145C26" w:rsidRPr="00145C26" w:rsidRDefault="00145C26" w:rsidP="00145C26">
      <w:pPr>
        <w:jc w:val="both"/>
      </w:pPr>
      <w:r w:rsidRPr="00145C26">
        <w:t>Direktorė</w:t>
      </w:r>
      <w:r w:rsidRPr="00145C26">
        <w:tab/>
      </w:r>
      <w:r w:rsidRPr="00145C26">
        <w:tab/>
      </w:r>
      <w:r w:rsidRPr="00145C26">
        <w:tab/>
      </w:r>
      <w:r w:rsidRPr="00145C26">
        <w:tab/>
      </w:r>
      <w:r w:rsidRPr="00145C26">
        <w:tab/>
        <w:t xml:space="preserve">                Daina Paliulienė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45C26">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45C26"/>
    <w:rsid w:val="0019615E"/>
    <w:rsid w:val="0034183E"/>
    <w:rsid w:val="004476DD"/>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8647</Words>
  <Characters>4929</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15</cp:revision>
  <dcterms:created xsi:type="dcterms:W3CDTF">2013-10-25T06:49:00Z</dcterms:created>
  <dcterms:modified xsi:type="dcterms:W3CDTF">2022-04-29T08:02:00Z</dcterms:modified>
</cp:coreProperties>
</file>